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B7D04" w:rsidRDefault="008C78FA">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Pr>
          <w:rFonts w:ascii="Arial" w:hAnsi="Arial" w:cs="Arial"/>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9B156B" w:rsidRPr="009B156B">
        <w:rPr>
          <w:rFonts w:ascii="Arial" w:hAnsi="Arial" w:cs="Arial"/>
          <w:b/>
          <w:sz w:val="24"/>
          <w:szCs w:val="24"/>
        </w:rPr>
        <w:t>R4-2514146</w:t>
      </w:r>
    </w:p>
    <w:bookmarkEnd w:id="2"/>
    <w:p w:rsidR="007B7D04" w:rsidRDefault="008C78FA">
      <w:pPr>
        <w:pStyle w:val="ac"/>
        <w:tabs>
          <w:tab w:val="clear" w:pos="4680"/>
          <w:tab w:val="clear" w:pos="9360"/>
          <w:tab w:val="right" w:pos="9781"/>
          <w:tab w:val="right" w:pos="13323"/>
        </w:tabs>
        <w:spacing w:before="120" w:after="120"/>
        <w:outlineLvl w:val="0"/>
        <w:rPr>
          <w:rFonts w:ascii="Arial" w:hAnsi="Arial" w:cs="Arial"/>
          <w:b/>
          <w:sz w:val="24"/>
          <w:szCs w:val="24"/>
        </w:rPr>
      </w:pPr>
      <w:r>
        <w:rPr>
          <w:rFonts w:ascii="Arial" w:hAnsi="Arial" w:cs="Arial"/>
          <w:b/>
          <w:sz w:val="24"/>
          <w:szCs w:val="24"/>
        </w:rPr>
        <w:t>Prague, CZ, 13rd – 17th, Oct. 2025</w:t>
      </w:r>
    </w:p>
    <w:p w:rsidR="007B7D04" w:rsidRDefault="007B7D04">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7B7D04" w:rsidRDefault="008C78FA">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Simulation results on NR SBFD demodulation requirements</w:t>
      </w:r>
    </w:p>
    <w:p w:rsidR="007B7D04" w:rsidRDefault="008C78FA">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7B7D04" w:rsidRDefault="008C78FA">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D4110">
        <w:rPr>
          <w:rFonts w:ascii="Arial" w:hAnsi="Arial"/>
          <w:b/>
          <w:sz w:val="24"/>
          <w:lang w:val="pt-BR"/>
        </w:rPr>
        <w:t>6.1</w:t>
      </w:r>
      <w:r w:rsidR="00984680">
        <w:rPr>
          <w:rFonts w:ascii="Arial" w:hAnsi="Arial"/>
          <w:b/>
          <w:sz w:val="24"/>
          <w:lang w:val="pt-BR"/>
        </w:rPr>
        <w:t>3</w:t>
      </w:r>
      <w:r w:rsidR="00AD4110">
        <w:rPr>
          <w:rFonts w:ascii="Arial" w:hAnsi="Arial"/>
          <w:b/>
          <w:sz w:val="24"/>
          <w:lang w:val="pt-BR"/>
        </w:rPr>
        <w:t>.4</w:t>
      </w:r>
    </w:p>
    <w:p w:rsidR="007B7D04" w:rsidRDefault="008C78FA">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7B7D04" w:rsidRDefault="008C78FA">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7B7D04" w:rsidRDefault="008C78FA">
      <w:pPr>
        <w:autoSpaceDN w:val="0"/>
        <w:adjustRightInd w:val="0"/>
        <w:spacing w:before="120" w:after="120"/>
        <w:rPr>
          <w:szCs w:val="22"/>
        </w:rPr>
      </w:pPr>
      <w:r>
        <w:t xml:space="preserve">In RAN#102, a new R19 WI on Evolution of NR duplex operation: Sub-band full duplex (SBFD) was approved, and the revised WID at RAN#104 can be found in [1]. </w:t>
      </w:r>
    </w:p>
    <w:p w:rsidR="007B7D04" w:rsidRDefault="008C78FA">
      <w:pPr>
        <w:spacing w:before="120" w:after="120"/>
        <w:rPr>
          <w:szCs w:val="22"/>
        </w:rPr>
      </w:pPr>
      <w:r>
        <w:rPr>
          <w:rFonts w:hint="eastAsia"/>
          <w:szCs w:val="22"/>
        </w:rPr>
        <w:t xml:space="preserve">In this contribution, we give some initial simulation results on </w:t>
      </w:r>
      <w:r>
        <w:rPr>
          <w:szCs w:val="22"/>
        </w:rPr>
        <w:t>BS demodulation requirements.</w:t>
      </w:r>
    </w:p>
    <w:p w:rsidR="007B7D04" w:rsidRDefault="008C78FA">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7B7D04" w:rsidRDefault="008C78FA">
      <w:pPr>
        <w:spacing w:before="120" w:after="120"/>
      </w:pPr>
      <w:r>
        <w:rPr>
          <w:rFonts w:hint="eastAsia"/>
        </w:rPr>
        <w:t xml:space="preserve">In last meeting, RAN4 discussed </w:t>
      </w:r>
      <w:r>
        <w:t>how to evaluate the performance of interference cancellation for BS side.  Currently, RAN4 agreed to evaluate PUSCH performance with UL muting under inter-site gNB interference modelling. However, how to model interference modeling for performance evaluation is still open. Some potential approaches are discussed in the following. Considering the processing of baseband, our simulations are based the INR values, which can be found in the test cases.</w:t>
      </w:r>
    </w:p>
    <w:tbl>
      <w:tblPr>
        <w:tblStyle w:val="af3"/>
        <w:tblW w:w="0" w:type="auto"/>
        <w:tblLook w:val="04A0" w:firstRow="1" w:lastRow="0" w:firstColumn="1" w:lastColumn="0" w:noHBand="0" w:noVBand="1"/>
      </w:tblPr>
      <w:tblGrid>
        <w:gridCol w:w="9876"/>
      </w:tblGrid>
      <w:tr w:rsidR="007B7D04">
        <w:tc>
          <w:tcPr>
            <w:tcW w:w="9876" w:type="dxa"/>
          </w:tcPr>
          <w:p w:rsidR="007B7D04" w:rsidRDefault="008C78FA">
            <w:pPr>
              <w:pStyle w:val="af8"/>
              <w:numPr>
                <w:ilvl w:val="0"/>
                <w:numId w:val="7"/>
              </w:numPr>
              <w:overflowPunct/>
              <w:autoSpaceDE/>
              <w:autoSpaceDN/>
              <w:adjustRightInd/>
              <w:spacing w:before="120" w:afterLines="0" w:after="120"/>
              <w:ind w:left="644"/>
              <w:contextualSpacing w:val="0"/>
              <w:textAlignment w:val="auto"/>
              <w:rPr>
                <w:rFonts w:eastAsia="宋体"/>
                <w:sz w:val="18"/>
                <w:szCs w:val="18"/>
              </w:rPr>
            </w:pPr>
            <w:r>
              <w:rPr>
                <w:rFonts w:eastAsia="宋体"/>
                <w:sz w:val="18"/>
                <w:szCs w:val="18"/>
              </w:rPr>
              <w:t xml:space="preserve">Agreement </w:t>
            </w:r>
          </w:p>
          <w:p w:rsidR="007B7D04" w:rsidRDefault="008C78FA">
            <w:pPr>
              <w:pStyle w:val="af8"/>
              <w:numPr>
                <w:ilvl w:val="1"/>
                <w:numId w:val="7"/>
              </w:numPr>
              <w:overflowPunct/>
              <w:autoSpaceDE/>
              <w:adjustRightInd/>
              <w:spacing w:before="120" w:afterLines="0" w:after="120"/>
              <w:ind w:left="1440"/>
              <w:contextualSpacing w:val="0"/>
              <w:textAlignment w:val="auto"/>
              <w:rPr>
                <w:sz w:val="18"/>
                <w:szCs w:val="18"/>
              </w:rPr>
            </w:pPr>
            <w:r>
              <w:rPr>
                <w:sz w:val="18"/>
                <w:szCs w:val="18"/>
              </w:rPr>
              <w:t>Considering TDL+INR type of interference model for evaluation</w:t>
            </w:r>
          </w:p>
          <w:p w:rsidR="007B7D04" w:rsidRDefault="008C78FA">
            <w:pPr>
              <w:pStyle w:val="af8"/>
              <w:numPr>
                <w:ilvl w:val="2"/>
                <w:numId w:val="7"/>
              </w:numPr>
              <w:overflowPunct/>
              <w:autoSpaceDE/>
              <w:adjustRightInd/>
              <w:spacing w:before="120" w:afterLines="0" w:after="120"/>
              <w:contextualSpacing w:val="0"/>
              <w:textAlignment w:val="auto"/>
              <w:rPr>
                <w:sz w:val="18"/>
                <w:szCs w:val="18"/>
              </w:rPr>
            </w:pPr>
            <w:r>
              <w:rPr>
                <w:rFonts w:eastAsiaTheme="minorEastAsia"/>
                <w:sz w:val="18"/>
                <w:szCs w:val="18"/>
              </w:rPr>
              <w:t>Note: the RF assumption can be considered for interference modelling</w:t>
            </w:r>
          </w:p>
          <w:p w:rsidR="007B7D04" w:rsidRDefault="008C78FA">
            <w:pPr>
              <w:pStyle w:val="af8"/>
              <w:numPr>
                <w:ilvl w:val="1"/>
                <w:numId w:val="7"/>
              </w:numPr>
              <w:overflowPunct/>
              <w:autoSpaceDE/>
              <w:adjustRightInd/>
              <w:spacing w:before="120" w:afterLines="0" w:after="120"/>
              <w:ind w:left="1440"/>
              <w:contextualSpacing w:val="0"/>
              <w:textAlignment w:val="auto"/>
              <w:rPr>
                <w:sz w:val="18"/>
                <w:szCs w:val="18"/>
              </w:rPr>
            </w:pPr>
            <w:r>
              <w:rPr>
                <w:rFonts w:eastAsiaTheme="minorEastAsia"/>
                <w:sz w:val="18"/>
                <w:szCs w:val="18"/>
              </w:rPr>
              <w:t xml:space="preserve">The following candidate value for INR can be considered for evaluation as starting point </w:t>
            </w:r>
          </w:p>
          <w:p w:rsidR="007B7D04" w:rsidRDefault="008C78FA">
            <w:pPr>
              <w:pStyle w:val="af8"/>
              <w:numPr>
                <w:ilvl w:val="2"/>
                <w:numId w:val="7"/>
              </w:numPr>
              <w:overflowPunct/>
              <w:autoSpaceDE/>
              <w:adjustRightInd/>
              <w:spacing w:before="120" w:afterLines="0" w:after="120"/>
              <w:contextualSpacing w:val="0"/>
              <w:textAlignment w:val="auto"/>
              <w:rPr>
                <w:sz w:val="18"/>
                <w:szCs w:val="18"/>
              </w:rPr>
            </w:pPr>
            <w:r>
              <w:rPr>
                <w:rFonts w:eastAsiaTheme="minorEastAsia" w:hint="eastAsia"/>
                <w:sz w:val="18"/>
                <w:szCs w:val="18"/>
              </w:rPr>
              <w:t>O</w:t>
            </w:r>
            <w:r>
              <w:rPr>
                <w:rFonts w:eastAsiaTheme="minorEastAsia"/>
                <w:sz w:val="18"/>
                <w:szCs w:val="18"/>
              </w:rPr>
              <w:t xml:space="preserve">ption 1: based on link budget analysis </w:t>
            </w:r>
          </w:p>
          <w:p w:rsidR="007B7D04" w:rsidRDefault="007B7D04">
            <w:pPr>
              <w:spacing w:before="120" w:after="120"/>
              <w:rPr>
                <w:sz w:val="18"/>
                <w:szCs w:val="18"/>
                <w:shd w:val="clear" w:color="auto" w:fill="FFFF00"/>
              </w:rPr>
            </w:pPr>
          </w:p>
          <w:tbl>
            <w:tblPr>
              <w:tblStyle w:val="af3"/>
              <w:tblW w:w="5000" w:type="pct"/>
              <w:jc w:val="center"/>
              <w:tblLook w:val="04A0" w:firstRow="1" w:lastRow="0" w:firstColumn="1" w:lastColumn="0" w:noHBand="0" w:noVBand="1"/>
            </w:tblPr>
            <w:tblGrid>
              <w:gridCol w:w="1760"/>
              <w:gridCol w:w="7890"/>
            </w:tblGrid>
            <w:tr w:rsidR="007B7D04">
              <w:trPr>
                <w:jc w:val="center"/>
              </w:trPr>
              <w:tc>
                <w:tcPr>
                  <w:tcW w:w="912" w:type="pct"/>
                </w:tcPr>
                <w:p w:rsidR="007B7D04" w:rsidRDefault="008C78FA">
                  <w:pPr>
                    <w:pStyle w:val="TAH"/>
                    <w:spacing w:before="120" w:after="120"/>
                    <w:rPr>
                      <w:szCs w:val="18"/>
                      <w:lang w:eastAsia="zh-CN"/>
                    </w:rPr>
                  </w:pPr>
                  <w:r>
                    <w:rPr>
                      <w:szCs w:val="18"/>
                      <w:lang w:eastAsia="zh-CN"/>
                    </w:rPr>
                    <w:t>Conditions</w:t>
                  </w:r>
                </w:p>
              </w:tc>
              <w:tc>
                <w:tcPr>
                  <w:tcW w:w="4088" w:type="pct"/>
                </w:tcPr>
                <w:p w:rsidR="007B7D04" w:rsidRDefault="008C78FA">
                  <w:pPr>
                    <w:pStyle w:val="TAH"/>
                    <w:spacing w:before="120" w:after="120"/>
                    <w:rPr>
                      <w:szCs w:val="18"/>
                    </w:rPr>
                  </w:pPr>
                  <w:r>
                    <w:rPr>
                      <w:rFonts w:hint="eastAsia"/>
                      <w:szCs w:val="18"/>
                    </w:rPr>
                    <w:t>FR1</w:t>
                  </w:r>
                </w:p>
              </w:tc>
            </w:tr>
            <w:tr w:rsidR="007B7D04">
              <w:trPr>
                <w:jc w:val="center"/>
              </w:trPr>
              <w:tc>
                <w:tcPr>
                  <w:tcW w:w="912" w:type="pct"/>
                </w:tcPr>
                <w:p w:rsidR="007B7D04" w:rsidRDefault="008C78FA">
                  <w:pPr>
                    <w:pStyle w:val="TAL"/>
                    <w:spacing w:before="120" w:after="120"/>
                    <w:jc w:val="center"/>
                    <w:rPr>
                      <w:szCs w:val="18"/>
                    </w:rPr>
                  </w:pPr>
                  <w:r>
                    <w:rPr>
                      <w:rFonts w:eastAsiaTheme="minorEastAsia" w:hint="eastAsia"/>
                      <w:szCs w:val="18"/>
                    </w:rPr>
                    <w:t>Interf1 &gt; Interf2</w:t>
                  </w:r>
                </w:p>
              </w:tc>
              <w:tc>
                <w:tcPr>
                  <w:tcW w:w="4088" w:type="pct"/>
                </w:tcPr>
                <w:p w:rsidR="007B7D04" w:rsidRDefault="008C78FA">
                  <w:pPr>
                    <w:pStyle w:val="TAC"/>
                    <w:spacing w:before="120" w:after="120"/>
                    <w:rPr>
                      <w:szCs w:val="18"/>
                    </w:rPr>
                  </w:pPr>
                  <w:r>
                    <w:rPr>
                      <w:szCs w:val="18"/>
                    </w:rPr>
                    <w:t>INR1 &lt;= 17.2dB, INR2 &lt;= 7.2dB</w:t>
                  </w:r>
                </w:p>
                <w:p w:rsidR="007B7D04" w:rsidRDefault="008C78FA">
                  <w:pPr>
                    <w:pStyle w:val="TAC"/>
                    <w:spacing w:before="120" w:after="120"/>
                    <w:rPr>
                      <w:szCs w:val="18"/>
                    </w:rPr>
                  </w:pPr>
                  <w:r>
                    <w:rPr>
                      <w:szCs w:val="18"/>
                    </w:rPr>
                    <w:t>Trial simulation could try following sets: [INR1, INR2] = {[5, -5], [9, -1], [13, 3], [17, 7]} dB</w:t>
                  </w:r>
                </w:p>
              </w:tc>
            </w:tr>
            <w:tr w:rsidR="007B7D04">
              <w:trPr>
                <w:jc w:val="center"/>
              </w:trPr>
              <w:tc>
                <w:tcPr>
                  <w:tcW w:w="912" w:type="pct"/>
                </w:tcPr>
                <w:p w:rsidR="007B7D04" w:rsidRDefault="008C78FA">
                  <w:pPr>
                    <w:pStyle w:val="TAL"/>
                    <w:spacing w:before="120" w:after="120"/>
                    <w:jc w:val="center"/>
                    <w:rPr>
                      <w:szCs w:val="18"/>
                    </w:rPr>
                  </w:pPr>
                  <w:r>
                    <w:rPr>
                      <w:rFonts w:eastAsiaTheme="minorEastAsia" w:hint="eastAsia"/>
                      <w:szCs w:val="18"/>
                    </w:rPr>
                    <w:t xml:space="preserve">Interf1 </w:t>
                  </w:r>
                  <w:r>
                    <w:rPr>
                      <w:rFonts w:eastAsiaTheme="minorEastAsia"/>
                      <w:szCs w:val="18"/>
                    </w:rPr>
                    <w:t>=</w:t>
                  </w:r>
                  <w:r>
                    <w:rPr>
                      <w:rFonts w:eastAsiaTheme="minorEastAsia" w:hint="eastAsia"/>
                      <w:szCs w:val="18"/>
                    </w:rPr>
                    <w:t xml:space="preserve"> Interf2</w:t>
                  </w:r>
                </w:p>
              </w:tc>
              <w:tc>
                <w:tcPr>
                  <w:tcW w:w="4088" w:type="pct"/>
                </w:tcPr>
                <w:p w:rsidR="007B7D04" w:rsidRDefault="008C78FA">
                  <w:pPr>
                    <w:pStyle w:val="TAC"/>
                    <w:spacing w:before="120" w:after="120"/>
                    <w:rPr>
                      <w:szCs w:val="18"/>
                    </w:rPr>
                  </w:pPr>
                  <w:r>
                    <w:rPr>
                      <w:szCs w:val="18"/>
                    </w:rPr>
                    <w:t>INR1 = INR2 &lt;=11.2dB</w:t>
                  </w:r>
                </w:p>
                <w:p w:rsidR="007B7D04" w:rsidRDefault="008C78FA">
                  <w:pPr>
                    <w:pStyle w:val="TAC"/>
                    <w:spacing w:before="120" w:after="120"/>
                    <w:rPr>
                      <w:szCs w:val="18"/>
                    </w:rPr>
                  </w:pPr>
                  <w:r>
                    <w:rPr>
                      <w:szCs w:val="18"/>
                    </w:rPr>
                    <w:t>Trial simulation could try following sets: [INR1, INR2] = {[-1, -1], [3, 3], [7, 7], [11, 11]} dB</w:t>
                  </w:r>
                </w:p>
              </w:tc>
            </w:tr>
            <w:tr w:rsidR="007B7D04">
              <w:trPr>
                <w:jc w:val="center"/>
              </w:trPr>
              <w:tc>
                <w:tcPr>
                  <w:tcW w:w="5000" w:type="pct"/>
                  <w:gridSpan w:val="2"/>
                </w:tcPr>
                <w:p w:rsidR="007B7D04" w:rsidRDefault="008C78FA">
                  <w:pPr>
                    <w:pStyle w:val="TAC"/>
                    <w:spacing w:before="120" w:after="120"/>
                    <w:jc w:val="left"/>
                    <w:rPr>
                      <w:szCs w:val="18"/>
                    </w:rPr>
                  </w:pPr>
                  <w:r>
                    <w:rPr>
                      <w:szCs w:val="18"/>
                    </w:rPr>
                    <w:t xml:space="preserve">Note: The interference wave form could use PUSCH with 1+1 DM-RS and CP-OFDM to simplify simulation setup. </w:t>
                  </w:r>
                </w:p>
              </w:tc>
            </w:tr>
          </w:tbl>
          <w:p w:rsidR="007B7D04" w:rsidRDefault="008C78FA">
            <w:pPr>
              <w:pStyle w:val="af8"/>
              <w:numPr>
                <w:ilvl w:val="2"/>
                <w:numId w:val="7"/>
              </w:numPr>
              <w:overflowPunct/>
              <w:autoSpaceDE/>
              <w:adjustRightInd/>
              <w:spacing w:before="120" w:afterLines="0" w:after="120"/>
              <w:contextualSpacing w:val="0"/>
              <w:textAlignment w:val="auto"/>
              <w:rPr>
                <w:sz w:val="18"/>
                <w:szCs w:val="18"/>
              </w:rPr>
            </w:pPr>
            <w:r>
              <w:rPr>
                <w:rFonts w:eastAsiaTheme="minorEastAsia"/>
                <w:sz w:val="18"/>
                <w:szCs w:val="18"/>
              </w:rPr>
              <w:t>Other options are not concluded</w:t>
            </w:r>
          </w:p>
          <w:p w:rsidR="007B7D04" w:rsidRDefault="008C78FA">
            <w:pPr>
              <w:pStyle w:val="af8"/>
              <w:numPr>
                <w:ilvl w:val="1"/>
                <w:numId w:val="7"/>
              </w:numPr>
              <w:overflowPunct/>
              <w:autoSpaceDE/>
              <w:adjustRightInd/>
              <w:spacing w:before="120" w:afterLines="0" w:after="120"/>
              <w:ind w:left="1440"/>
              <w:contextualSpacing w:val="0"/>
              <w:textAlignment w:val="auto"/>
            </w:pPr>
            <w:r>
              <w:rPr>
                <w:rFonts w:eastAsiaTheme="minorEastAsia"/>
                <w:sz w:val="18"/>
                <w:szCs w:val="18"/>
              </w:rPr>
              <w:t xml:space="preserve">Interesting companies can provide the system level simulation to derive the INR value </w:t>
            </w:r>
          </w:p>
        </w:tc>
      </w:tr>
    </w:tbl>
    <w:p w:rsidR="007B7D04" w:rsidRDefault="007B7D04">
      <w:pPr>
        <w:spacing w:before="120" w:after="120"/>
      </w:pPr>
    </w:p>
    <w:p w:rsidR="007B7D04" w:rsidRDefault="007B7D04">
      <w:pPr>
        <w:spacing w:before="120" w:after="120"/>
      </w:pPr>
    </w:p>
    <w:p w:rsidR="007B7D04" w:rsidRDefault="008C78FA">
      <w:pPr>
        <w:spacing w:before="120" w:after="120"/>
      </w:pPr>
      <w:r>
        <w:rPr>
          <w:rFonts w:hint="eastAsia"/>
        </w:rPr>
        <w:lastRenderedPageBreak/>
        <w:t>The detail simulation assumptions as shown in following Table 2-1.</w:t>
      </w:r>
    </w:p>
    <w:p w:rsidR="007B7D04" w:rsidRDefault="008C78FA">
      <w:pPr>
        <w:spacing w:before="120" w:after="120"/>
      </w:pPr>
      <w:r>
        <w:rPr>
          <w:rFonts w:hint="eastAsia"/>
        </w:rPr>
        <w:t xml:space="preserve">We evaluated </w:t>
      </w:r>
      <w:r>
        <w:t xml:space="preserve">the baseline and enhanced scenarios </w:t>
      </w:r>
      <w:r>
        <w:rPr>
          <w:rFonts w:hint="eastAsia"/>
        </w:rPr>
        <w:t xml:space="preserve">with different </w:t>
      </w:r>
      <w:r>
        <w:t>muting symbols and configurations, and different receive antennas.</w:t>
      </w:r>
    </w:p>
    <w:p w:rsidR="007B7D04" w:rsidRDefault="008C78FA">
      <w:pPr>
        <w:spacing w:before="120" w:after="120"/>
      </w:pPr>
      <w:r>
        <w:rPr>
          <w:rFonts w:hint="eastAsia"/>
        </w:rPr>
        <w:t xml:space="preserve">The SNR corresponding to 70% maximum throughput is shown in </w:t>
      </w:r>
      <w:r>
        <w:t>the following.</w:t>
      </w:r>
    </w:p>
    <w:tbl>
      <w:tblPr>
        <w:tblpPr w:leftFromText="180" w:rightFromText="180" w:vertAnchor="text" w:horzAnchor="page" w:tblpXSpec="center" w:tblpY="455"/>
        <w:tblOverlap w:val="neve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677"/>
        <w:gridCol w:w="629"/>
        <w:gridCol w:w="641"/>
        <w:gridCol w:w="664"/>
        <w:gridCol w:w="664"/>
        <w:gridCol w:w="642"/>
        <w:gridCol w:w="709"/>
        <w:gridCol w:w="1842"/>
        <w:gridCol w:w="993"/>
        <w:gridCol w:w="850"/>
        <w:gridCol w:w="1134"/>
        <w:gridCol w:w="1038"/>
      </w:tblGrid>
      <w:tr w:rsidR="007B7D04">
        <w:trPr>
          <w:trHeight w:val="1314"/>
        </w:trPr>
        <w:tc>
          <w:tcPr>
            <w:tcW w:w="44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TC#</w:t>
            </w:r>
          </w:p>
        </w:tc>
        <w:tc>
          <w:tcPr>
            <w:tcW w:w="677"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Duplex Mode and SCS</w:t>
            </w:r>
          </w:p>
        </w:tc>
        <w:tc>
          <w:tcPr>
            <w:tcW w:w="62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CHBW</w:t>
            </w:r>
          </w:p>
        </w:tc>
        <w:tc>
          <w:tcPr>
            <w:tcW w:w="641"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MIMO</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Rank </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MCS </w:t>
            </w:r>
          </w:p>
        </w:tc>
        <w:tc>
          <w:tcPr>
            <w:tcW w:w="6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INR1</w:t>
            </w:r>
          </w:p>
        </w:tc>
        <w:tc>
          <w:tcPr>
            <w:tcW w:w="70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INR2</w:t>
            </w:r>
          </w:p>
        </w:tc>
        <w:tc>
          <w:tcPr>
            <w:tcW w:w="18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Channel Model</w:t>
            </w:r>
          </w:p>
        </w:tc>
        <w:tc>
          <w:tcPr>
            <w:tcW w:w="993" w:type="dxa"/>
            <w:shd w:val="clear" w:color="auto" w:fill="B7DEE8"/>
            <w:vAlign w:val="center"/>
          </w:tcPr>
          <w:p w:rsidR="007B7D04" w:rsidRDefault="008C78FA">
            <w:pPr>
              <w:spacing w:before="120" w:after="120"/>
              <w:jc w:val="center"/>
              <w:textAlignment w:val="center"/>
              <w:rPr>
                <w:rFonts w:ascii="Calibri" w:hAnsi="Calibri" w:cs="Calibri"/>
                <w:b/>
                <w:bCs/>
                <w:color w:val="000000"/>
                <w:kern w:val="0"/>
                <w:sz w:val="20"/>
                <w:lang w:bidi="ar"/>
              </w:rPr>
            </w:pPr>
            <w:r>
              <w:rPr>
                <w:rFonts w:ascii="Calibri" w:hAnsi="Calibri" w:cs="Calibri"/>
                <w:b/>
                <w:bCs/>
                <w:color w:val="000000" w:themeColor="text1"/>
                <w:kern w:val="0"/>
                <w:sz w:val="20"/>
                <w:lang w:bidi="ar"/>
              </w:rPr>
              <w:t>Muting symbol</w:t>
            </w:r>
          </w:p>
        </w:tc>
        <w:tc>
          <w:tcPr>
            <w:tcW w:w="850"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M</w:t>
            </w:r>
            <w:r>
              <w:rPr>
                <w:rFonts w:ascii="Calibri" w:hAnsi="Calibri" w:cs="Calibri" w:hint="eastAsia"/>
                <w:b/>
                <w:bCs/>
                <w:color w:val="000000" w:themeColor="text1"/>
                <w:kern w:val="0"/>
                <w:sz w:val="20"/>
                <w:lang w:bidi="ar"/>
              </w:rPr>
              <w:t>uting</w:t>
            </w:r>
            <w:r>
              <w:rPr>
                <w:rFonts w:ascii="Calibri" w:hAnsi="Calibri" w:cs="Calibri"/>
                <w:b/>
                <w:bCs/>
                <w:color w:val="000000" w:themeColor="text1"/>
                <w:kern w:val="0"/>
                <w:sz w:val="20"/>
                <w:lang w:bidi="ar"/>
              </w:rPr>
              <w:t xml:space="preserve"> Configuration</w:t>
            </w:r>
          </w:p>
        </w:tc>
        <w:tc>
          <w:tcPr>
            <w:tcW w:w="1134" w:type="dxa"/>
            <w:shd w:val="clear" w:color="auto" w:fill="B7DEE8"/>
          </w:tcPr>
          <w:p w:rsidR="007B7D04" w:rsidRDefault="007B7D04">
            <w:pPr>
              <w:spacing w:before="120" w:after="120"/>
              <w:jc w:val="center"/>
              <w:textAlignment w:val="center"/>
              <w:rPr>
                <w:rFonts w:ascii="Calibri" w:hAnsi="Calibri" w:cs="Calibri"/>
                <w:b/>
                <w:bCs/>
                <w:color w:val="000000" w:themeColor="text1"/>
                <w:kern w:val="0"/>
                <w:sz w:val="20"/>
                <w:lang w:bidi="ar"/>
              </w:rPr>
            </w:pPr>
          </w:p>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Scenario</w:t>
            </w:r>
          </w:p>
        </w:tc>
        <w:tc>
          <w:tcPr>
            <w:tcW w:w="1038"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SNR</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w:t>
            </w:r>
          </w:p>
        </w:tc>
        <w:tc>
          <w:tcPr>
            <w:tcW w:w="677"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30 kHz SCS</w:t>
            </w:r>
          </w:p>
        </w:tc>
        <w:tc>
          <w:tcPr>
            <w:tcW w:w="62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40 MHz(20MHz DL sub-band+ 20MHz UL sub-band)</w:t>
            </w: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6</w:t>
            </w: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5</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5</w:t>
            </w:r>
          </w:p>
        </w:tc>
        <w:tc>
          <w:tcPr>
            <w:tcW w:w="18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TDLC 300-100</w:t>
            </w:r>
          </w:p>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ULA Low</w:t>
            </w: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w:t>
            </w:r>
            <w:r>
              <w:rPr>
                <w:rFonts w:ascii="Calibri" w:hAnsi="Calibri" w:cs="Calibri"/>
                <w:color w:val="000000"/>
                <w:kern w:val="0"/>
                <w:sz w:val="20"/>
                <w:lang w:bidi="ar"/>
              </w:rPr>
              <w:t xml:space="preserve"> </w:t>
            </w:r>
            <w:r>
              <w:rPr>
                <w:rFonts w:ascii="Calibri" w:hAnsi="Calibri" w:cs="Calibri" w:hint="eastAsia"/>
                <w:color w:val="000000"/>
                <w:kern w:val="0"/>
                <w:sz w:val="20"/>
                <w:lang w:bidi="ar"/>
              </w:rPr>
              <w:t>symbol</w:t>
            </w:r>
          </w:p>
        </w:tc>
        <w:tc>
          <w:tcPr>
            <w:tcW w:w="850" w:type="dxa"/>
            <w:vMerge w:val="restart"/>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w:t>
            </w:r>
            <w:r>
              <w:rPr>
                <w:rFonts w:ascii="Calibri" w:hAnsi="Calibri" w:cs="Calibri"/>
                <w:color w:val="000000"/>
                <w:kern w:val="0"/>
                <w:sz w:val="20"/>
                <w:lang w:bidi="ar"/>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13</w:t>
            </w:r>
            <w:r>
              <w:rPr>
                <w:rFonts w:ascii="Calibri" w:hAnsi="Calibri" w:cs="Calibri"/>
                <w:color w:val="000000"/>
                <w:kern w:val="0"/>
                <w:sz w:val="20"/>
                <w:lang w:bidi="ar"/>
              </w:rPr>
              <w:t>.0</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850" w:type="dxa"/>
            <w:vMerge/>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1</w:t>
            </w:r>
            <w:r>
              <w:rPr>
                <w:rFonts w:ascii="Calibri" w:hAnsi="Calibri" w:cs="Calibri" w:hint="eastAsia"/>
                <w:color w:val="000000"/>
                <w:kern w:val="0"/>
                <w:sz w:val="20"/>
                <w:lang w:bidi="ar"/>
              </w:rPr>
              <w:t>2</w:t>
            </w:r>
            <w:r>
              <w:rPr>
                <w:rFonts w:ascii="Calibri" w:hAnsi="Calibri" w:cs="Calibri"/>
                <w:color w:val="000000"/>
                <w:kern w:val="0"/>
                <w:sz w:val="20"/>
                <w:lang w:bidi="ar"/>
              </w:rPr>
              <w:t>.1</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2</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5</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5</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1 symbol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8.1</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7</w:t>
            </w:r>
            <w:r>
              <w:rPr>
                <w:rFonts w:ascii="Calibri" w:hAnsi="Calibri" w:cs="Calibri"/>
                <w:color w:val="000000"/>
                <w:sz w:val="20"/>
              </w:rPr>
              <w:t>.2</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5</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5</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12.9</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11.1</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5</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5</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5</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7.4</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rPr>
                <w:rFonts w:ascii="Calibri" w:hAnsi="Calibri" w:cs="Calibri"/>
                <w:color w:val="000000"/>
                <w:sz w:val="20"/>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6.1</w:t>
            </w:r>
          </w:p>
        </w:tc>
      </w:tr>
    </w:tbl>
    <w:p w:rsidR="007B7D04" w:rsidRDefault="007B7D04">
      <w:pPr>
        <w:widowControl w:val="0"/>
        <w:spacing w:beforeLines="100" w:before="240" w:afterLines="0" w:line="240" w:lineRule="auto"/>
        <w:rPr>
          <w:b/>
          <w:bCs/>
          <w:i/>
          <w:iCs/>
          <w:szCs w:val="21"/>
        </w:rPr>
      </w:pPr>
    </w:p>
    <w:p w:rsidR="007B7D04" w:rsidRDefault="007B7D04">
      <w:pPr>
        <w:spacing w:before="120" w:after="120"/>
        <w:rPr>
          <w:b/>
          <w:bCs/>
          <w:sz w:val="24"/>
          <w:szCs w:val="24"/>
        </w:rPr>
      </w:pPr>
    </w:p>
    <w:tbl>
      <w:tblPr>
        <w:tblpPr w:leftFromText="180" w:rightFromText="180" w:vertAnchor="text" w:horzAnchor="page" w:tblpXSpec="center" w:tblpY="455"/>
        <w:tblOverlap w:val="neve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677"/>
        <w:gridCol w:w="629"/>
        <w:gridCol w:w="641"/>
        <w:gridCol w:w="664"/>
        <w:gridCol w:w="664"/>
        <w:gridCol w:w="642"/>
        <w:gridCol w:w="709"/>
        <w:gridCol w:w="1842"/>
        <w:gridCol w:w="993"/>
        <w:gridCol w:w="850"/>
        <w:gridCol w:w="1134"/>
        <w:gridCol w:w="1038"/>
      </w:tblGrid>
      <w:tr w:rsidR="007B7D04">
        <w:trPr>
          <w:trHeight w:val="1314"/>
        </w:trPr>
        <w:tc>
          <w:tcPr>
            <w:tcW w:w="44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TC#</w:t>
            </w:r>
          </w:p>
        </w:tc>
        <w:tc>
          <w:tcPr>
            <w:tcW w:w="677"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Duplex Mode and SCS</w:t>
            </w:r>
          </w:p>
        </w:tc>
        <w:tc>
          <w:tcPr>
            <w:tcW w:w="62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CHBW</w:t>
            </w:r>
          </w:p>
        </w:tc>
        <w:tc>
          <w:tcPr>
            <w:tcW w:w="641"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MIMO</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Rank </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MCS </w:t>
            </w:r>
          </w:p>
        </w:tc>
        <w:tc>
          <w:tcPr>
            <w:tcW w:w="6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INR1</w:t>
            </w:r>
          </w:p>
        </w:tc>
        <w:tc>
          <w:tcPr>
            <w:tcW w:w="70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INR2</w:t>
            </w:r>
          </w:p>
        </w:tc>
        <w:tc>
          <w:tcPr>
            <w:tcW w:w="18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Channel Model</w:t>
            </w:r>
          </w:p>
        </w:tc>
        <w:tc>
          <w:tcPr>
            <w:tcW w:w="993" w:type="dxa"/>
            <w:shd w:val="clear" w:color="auto" w:fill="B7DEE8"/>
            <w:vAlign w:val="center"/>
          </w:tcPr>
          <w:p w:rsidR="007B7D04" w:rsidRDefault="008C78FA">
            <w:pPr>
              <w:spacing w:before="120" w:after="120"/>
              <w:jc w:val="center"/>
              <w:textAlignment w:val="center"/>
              <w:rPr>
                <w:rFonts w:ascii="Calibri" w:hAnsi="Calibri" w:cs="Calibri"/>
                <w:b/>
                <w:bCs/>
                <w:color w:val="000000"/>
                <w:kern w:val="0"/>
                <w:sz w:val="20"/>
                <w:lang w:bidi="ar"/>
              </w:rPr>
            </w:pPr>
            <w:r>
              <w:rPr>
                <w:rFonts w:ascii="Calibri" w:hAnsi="Calibri" w:cs="Calibri"/>
                <w:b/>
                <w:bCs/>
                <w:color w:val="000000" w:themeColor="text1"/>
                <w:kern w:val="0"/>
                <w:sz w:val="20"/>
                <w:lang w:bidi="ar"/>
              </w:rPr>
              <w:t>Muting symbol</w:t>
            </w:r>
          </w:p>
        </w:tc>
        <w:tc>
          <w:tcPr>
            <w:tcW w:w="850"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M</w:t>
            </w:r>
            <w:r>
              <w:rPr>
                <w:rFonts w:ascii="Calibri" w:hAnsi="Calibri" w:cs="Calibri" w:hint="eastAsia"/>
                <w:b/>
                <w:bCs/>
                <w:color w:val="000000" w:themeColor="text1"/>
                <w:kern w:val="0"/>
                <w:sz w:val="20"/>
                <w:lang w:bidi="ar"/>
              </w:rPr>
              <w:t>uting</w:t>
            </w:r>
            <w:r>
              <w:rPr>
                <w:rFonts w:ascii="Calibri" w:hAnsi="Calibri" w:cs="Calibri"/>
                <w:b/>
                <w:bCs/>
                <w:color w:val="000000" w:themeColor="text1"/>
                <w:kern w:val="0"/>
                <w:sz w:val="20"/>
                <w:lang w:bidi="ar"/>
              </w:rPr>
              <w:t xml:space="preserve"> Configuration</w:t>
            </w:r>
          </w:p>
        </w:tc>
        <w:tc>
          <w:tcPr>
            <w:tcW w:w="1134" w:type="dxa"/>
            <w:shd w:val="clear" w:color="auto" w:fill="B7DEE8"/>
          </w:tcPr>
          <w:p w:rsidR="007B7D04" w:rsidRDefault="007B7D04">
            <w:pPr>
              <w:spacing w:before="120" w:after="120"/>
              <w:jc w:val="center"/>
              <w:textAlignment w:val="center"/>
              <w:rPr>
                <w:rFonts w:ascii="Calibri" w:hAnsi="Calibri" w:cs="Calibri"/>
                <w:b/>
                <w:bCs/>
                <w:color w:val="000000" w:themeColor="text1"/>
                <w:kern w:val="0"/>
                <w:sz w:val="20"/>
                <w:lang w:bidi="ar"/>
              </w:rPr>
            </w:pPr>
          </w:p>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Scenario</w:t>
            </w:r>
          </w:p>
        </w:tc>
        <w:tc>
          <w:tcPr>
            <w:tcW w:w="1038"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SNR</w:t>
            </w:r>
          </w:p>
        </w:tc>
      </w:tr>
      <w:tr w:rsidR="007B7D04">
        <w:trPr>
          <w:trHeight w:val="90"/>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w:t>
            </w:r>
          </w:p>
        </w:tc>
        <w:tc>
          <w:tcPr>
            <w:tcW w:w="677"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30 kHz SCS</w:t>
            </w:r>
          </w:p>
        </w:tc>
        <w:tc>
          <w:tcPr>
            <w:tcW w:w="62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40 MHz(20MHz DL sub-band</w:t>
            </w:r>
            <w:r>
              <w:rPr>
                <w:rFonts w:ascii="Calibri" w:hAnsi="Calibri" w:cs="Calibri"/>
                <w:color w:val="000000"/>
                <w:kern w:val="0"/>
                <w:sz w:val="20"/>
                <w:lang w:bidi="ar"/>
              </w:rPr>
              <w:lastRenderedPageBreak/>
              <w:t>+ 20MHz UL sub-band)</w:t>
            </w: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lastRenderedPageBreak/>
              <w:t>1T2R</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6</w:t>
            </w: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17</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7</w:t>
            </w:r>
          </w:p>
        </w:tc>
        <w:tc>
          <w:tcPr>
            <w:tcW w:w="18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TDLC 300-100</w:t>
            </w:r>
          </w:p>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ULA Low</w:t>
            </w: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w:t>
            </w:r>
            <w:r>
              <w:rPr>
                <w:rFonts w:ascii="Calibri" w:hAnsi="Calibri" w:cs="Calibri"/>
                <w:color w:val="000000"/>
                <w:kern w:val="0"/>
                <w:sz w:val="20"/>
                <w:lang w:bidi="ar"/>
              </w:rPr>
              <w:t xml:space="preserve"> </w:t>
            </w:r>
            <w:r>
              <w:rPr>
                <w:rFonts w:ascii="Calibri" w:hAnsi="Calibri" w:cs="Calibri" w:hint="eastAsia"/>
                <w:color w:val="000000"/>
                <w:kern w:val="0"/>
                <w:sz w:val="20"/>
                <w:lang w:bidi="ar"/>
              </w:rPr>
              <w:t>symbol</w:t>
            </w:r>
          </w:p>
        </w:tc>
        <w:tc>
          <w:tcPr>
            <w:tcW w:w="850" w:type="dxa"/>
            <w:vMerge w:val="restart"/>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w:t>
            </w:r>
            <w:r>
              <w:rPr>
                <w:rFonts w:ascii="Calibri" w:hAnsi="Calibri" w:cs="Calibri"/>
                <w:color w:val="000000"/>
                <w:kern w:val="0"/>
                <w:sz w:val="20"/>
                <w:lang w:bidi="ar"/>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21.7</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850" w:type="dxa"/>
            <w:vMerge/>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19.5</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2</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17</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7</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textAlignment w:val="center"/>
              <w:rPr>
                <w:rFonts w:ascii="Calibri" w:hAnsi="Calibri" w:cs="Calibri"/>
                <w:color w:val="000000"/>
                <w:sz w:val="20"/>
              </w:rPr>
            </w:pPr>
            <w:r>
              <w:rPr>
                <w:rFonts w:ascii="Calibri" w:hAnsi="Calibri" w:cs="Calibri"/>
                <w:color w:val="000000"/>
                <w:sz w:val="20"/>
              </w:rPr>
              <w:t xml:space="preserve">1 symbol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16.8</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11.2</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lastRenderedPageBreak/>
              <w:t>4</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17</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7</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21.1</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19.5</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5</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17</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7</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15.01</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rPr>
                <w:rFonts w:ascii="Calibri" w:hAnsi="Calibri" w:cs="Calibri"/>
                <w:color w:val="000000"/>
                <w:sz w:val="20"/>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10.7</w:t>
            </w:r>
          </w:p>
        </w:tc>
      </w:tr>
    </w:tbl>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tbl>
      <w:tblPr>
        <w:tblpPr w:leftFromText="180" w:rightFromText="180" w:vertAnchor="text" w:horzAnchor="page" w:tblpXSpec="center" w:tblpY="455"/>
        <w:tblOverlap w:val="neve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677"/>
        <w:gridCol w:w="629"/>
        <w:gridCol w:w="641"/>
        <w:gridCol w:w="664"/>
        <w:gridCol w:w="664"/>
        <w:gridCol w:w="642"/>
        <w:gridCol w:w="709"/>
        <w:gridCol w:w="1842"/>
        <w:gridCol w:w="993"/>
        <w:gridCol w:w="850"/>
        <w:gridCol w:w="1134"/>
        <w:gridCol w:w="1038"/>
      </w:tblGrid>
      <w:tr w:rsidR="007B7D04">
        <w:trPr>
          <w:trHeight w:val="1314"/>
        </w:trPr>
        <w:tc>
          <w:tcPr>
            <w:tcW w:w="44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TC#</w:t>
            </w:r>
          </w:p>
        </w:tc>
        <w:tc>
          <w:tcPr>
            <w:tcW w:w="677"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Duplex Mode and SCS</w:t>
            </w:r>
          </w:p>
        </w:tc>
        <w:tc>
          <w:tcPr>
            <w:tcW w:w="62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CHBW</w:t>
            </w:r>
          </w:p>
        </w:tc>
        <w:tc>
          <w:tcPr>
            <w:tcW w:w="641"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MIMO</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Rank </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MCS </w:t>
            </w:r>
          </w:p>
        </w:tc>
        <w:tc>
          <w:tcPr>
            <w:tcW w:w="6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INR1</w:t>
            </w:r>
          </w:p>
        </w:tc>
        <w:tc>
          <w:tcPr>
            <w:tcW w:w="70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INR2</w:t>
            </w:r>
          </w:p>
        </w:tc>
        <w:tc>
          <w:tcPr>
            <w:tcW w:w="18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Channel Model</w:t>
            </w:r>
          </w:p>
        </w:tc>
        <w:tc>
          <w:tcPr>
            <w:tcW w:w="993" w:type="dxa"/>
            <w:shd w:val="clear" w:color="auto" w:fill="B7DEE8"/>
            <w:vAlign w:val="center"/>
          </w:tcPr>
          <w:p w:rsidR="007B7D04" w:rsidRDefault="008C78FA">
            <w:pPr>
              <w:spacing w:before="120" w:after="120"/>
              <w:jc w:val="center"/>
              <w:textAlignment w:val="center"/>
              <w:rPr>
                <w:rFonts w:ascii="Calibri" w:hAnsi="Calibri" w:cs="Calibri"/>
                <w:b/>
                <w:bCs/>
                <w:color w:val="000000"/>
                <w:kern w:val="0"/>
                <w:sz w:val="20"/>
                <w:lang w:bidi="ar"/>
              </w:rPr>
            </w:pPr>
            <w:r>
              <w:rPr>
                <w:rFonts w:ascii="Calibri" w:hAnsi="Calibri" w:cs="Calibri"/>
                <w:b/>
                <w:bCs/>
                <w:color w:val="000000" w:themeColor="text1"/>
                <w:kern w:val="0"/>
                <w:sz w:val="20"/>
                <w:lang w:bidi="ar"/>
              </w:rPr>
              <w:t>Muting symbol</w:t>
            </w:r>
          </w:p>
        </w:tc>
        <w:tc>
          <w:tcPr>
            <w:tcW w:w="850"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M</w:t>
            </w:r>
            <w:r>
              <w:rPr>
                <w:rFonts w:ascii="Calibri" w:hAnsi="Calibri" w:cs="Calibri" w:hint="eastAsia"/>
                <w:b/>
                <w:bCs/>
                <w:color w:val="000000" w:themeColor="text1"/>
                <w:kern w:val="0"/>
                <w:sz w:val="20"/>
                <w:lang w:bidi="ar"/>
              </w:rPr>
              <w:t>uting</w:t>
            </w:r>
            <w:r>
              <w:rPr>
                <w:rFonts w:ascii="Calibri" w:hAnsi="Calibri" w:cs="Calibri"/>
                <w:b/>
                <w:bCs/>
                <w:color w:val="000000" w:themeColor="text1"/>
                <w:kern w:val="0"/>
                <w:sz w:val="20"/>
                <w:lang w:bidi="ar"/>
              </w:rPr>
              <w:t xml:space="preserve"> Configuration</w:t>
            </w:r>
          </w:p>
        </w:tc>
        <w:tc>
          <w:tcPr>
            <w:tcW w:w="1134" w:type="dxa"/>
            <w:shd w:val="clear" w:color="auto" w:fill="B7DEE8"/>
          </w:tcPr>
          <w:p w:rsidR="007B7D04" w:rsidRDefault="007B7D04">
            <w:pPr>
              <w:spacing w:before="120" w:after="120"/>
              <w:jc w:val="center"/>
              <w:textAlignment w:val="center"/>
              <w:rPr>
                <w:rFonts w:ascii="Calibri" w:hAnsi="Calibri" w:cs="Calibri"/>
                <w:b/>
                <w:bCs/>
                <w:color w:val="000000" w:themeColor="text1"/>
                <w:kern w:val="0"/>
                <w:sz w:val="20"/>
                <w:lang w:bidi="ar"/>
              </w:rPr>
            </w:pPr>
          </w:p>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Scenario</w:t>
            </w:r>
          </w:p>
        </w:tc>
        <w:tc>
          <w:tcPr>
            <w:tcW w:w="1038"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SNR</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w:t>
            </w:r>
          </w:p>
        </w:tc>
        <w:tc>
          <w:tcPr>
            <w:tcW w:w="677"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30 kHz SCS</w:t>
            </w:r>
          </w:p>
        </w:tc>
        <w:tc>
          <w:tcPr>
            <w:tcW w:w="62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40 MHz(20MHz DL sub-band+ 20MHz UL sub-band)</w:t>
            </w: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6</w:t>
            </w: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18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TDLC 300-100</w:t>
            </w:r>
          </w:p>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ULA Low</w:t>
            </w: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w:t>
            </w:r>
            <w:r>
              <w:rPr>
                <w:rFonts w:ascii="Calibri" w:hAnsi="Calibri" w:cs="Calibri"/>
                <w:color w:val="000000"/>
                <w:kern w:val="0"/>
                <w:sz w:val="20"/>
                <w:lang w:bidi="ar"/>
              </w:rPr>
              <w:t xml:space="preserve"> </w:t>
            </w:r>
            <w:r>
              <w:rPr>
                <w:rFonts w:ascii="Calibri" w:hAnsi="Calibri" w:cs="Calibri" w:hint="eastAsia"/>
                <w:color w:val="000000"/>
                <w:kern w:val="0"/>
                <w:sz w:val="20"/>
                <w:lang w:bidi="ar"/>
              </w:rPr>
              <w:t>symbol</w:t>
            </w:r>
          </w:p>
        </w:tc>
        <w:tc>
          <w:tcPr>
            <w:tcW w:w="850" w:type="dxa"/>
            <w:vMerge w:val="restart"/>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w:t>
            </w:r>
            <w:r>
              <w:rPr>
                <w:rFonts w:ascii="Calibri" w:hAnsi="Calibri" w:cs="Calibri"/>
                <w:color w:val="000000"/>
                <w:kern w:val="0"/>
                <w:sz w:val="20"/>
                <w:lang w:bidi="ar"/>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12.0</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850" w:type="dxa"/>
            <w:vMerge/>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10.8</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2</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textAlignment w:val="center"/>
              <w:rPr>
                <w:rFonts w:ascii="Calibri" w:hAnsi="Calibri" w:cs="Calibri"/>
                <w:color w:val="000000"/>
                <w:sz w:val="20"/>
              </w:rPr>
            </w:pPr>
            <w:r>
              <w:rPr>
                <w:rFonts w:ascii="Calibri" w:hAnsi="Calibri" w:cs="Calibri"/>
                <w:color w:val="000000"/>
                <w:sz w:val="20"/>
              </w:rPr>
              <w:t xml:space="preserve">1 symbol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7.7</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6.2</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11.7</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sz w:val="20"/>
              </w:rPr>
              <w:t>10.8</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5</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6.6</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rPr>
                <w:rFonts w:ascii="Calibri" w:hAnsi="Calibri" w:cs="Calibri"/>
                <w:color w:val="000000"/>
                <w:sz w:val="20"/>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5.7</w:t>
            </w:r>
          </w:p>
        </w:tc>
      </w:tr>
    </w:tbl>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rPr>
          <w:b/>
          <w:bCs/>
          <w:sz w:val="24"/>
          <w:szCs w:val="24"/>
        </w:rPr>
      </w:pPr>
    </w:p>
    <w:tbl>
      <w:tblPr>
        <w:tblpPr w:leftFromText="180" w:rightFromText="180" w:vertAnchor="text" w:horzAnchor="page" w:tblpXSpec="center" w:tblpY="455"/>
        <w:tblOverlap w:val="neve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677"/>
        <w:gridCol w:w="629"/>
        <w:gridCol w:w="641"/>
        <w:gridCol w:w="664"/>
        <w:gridCol w:w="664"/>
        <w:gridCol w:w="642"/>
        <w:gridCol w:w="709"/>
        <w:gridCol w:w="1842"/>
        <w:gridCol w:w="993"/>
        <w:gridCol w:w="850"/>
        <w:gridCol w:w="1134"/>
        <w:gridCol w:w="1038"/>
      </w:tblGrid>
      <w:tr w:rsidR="007B7D04">
        <w:trPr>
          <w:trHeight w:val="1314"/>
        </w:trPr>
        <w:tc>
          <w:tcPr>
            <w:tcW w:w="44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TC#</w:t>
            </w:r>
          </w:p>
        </w:tc>
        <w:tc>
          <w:tcPr>
            <w:tcW w:w="677"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Duplex Mode and SCS</w:t>
            </w:r>
          </w:p>
        </w:tc>
        <w:tc>
          <w:tcPr>
            <w:tcW w:w="62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CHBW</w:t>
            </w:r>
          </w:p>
        </w:tc>
        <w:tc>
          <w:tcPr>
            <w:tcW w:w="641"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MIMO</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Rank </w:t>
            </w:r>
          </w:p>
        </w:tc>
        <w:tc>
          <w:tcPr>
            <w:tcW w:w="664"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 xml:space="preserve">MCS </w:t>
            </w:r>
          </w:p>
        </w:tc>
        <w:tc>
          <w:tcPr>
            <w:tcW w:w="6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INR1</w:t>
            </w:r>
          </w:p>
        </w:tc>
        <w:tc>
          <w:tcPr>
            <w:tcW w:w="709"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INR2</w:t>
            </w:r>
          </w:p>
        </w:tc>
        <w:tc>
          <w:tcPr>
            <w:tcW w:w="1842" w:type="dxa"/>
            <w:shd w:val="clear" w:color="auto" w:fill="B7DEE8"/>
            <w:vAlign w:val="center"/>
          </w:tcPr>
          <w:p w:rsidR="007B7D04" w:rsidRDefault="008C78FA">
            <w:pPr>
              <w:spacing w:before="120" w:after="120"/>
              <w:jc w:val="center"/>
              <w:textAlignment w:val="center"/>
              <w:rPr>
                <w:rFonts w:ascii="Calibri" w:hAnsi="Calibri" w:cs="Calibri"/>
                <w:b/>
                <w:bCs/>
                <w:color w:val="000000"/>
                <w:sz w:val="20"/>
              </w:rPr>
            </w:pPr>
            <w:r>
              <w:rPr>
                <w:rFonts w:ascii="Calibri" w:hAnsi="Calibri" w:cs="Calibri"/>
                <w:b/>
                <w:bCs/>
                <w:color w:val="000000"/>
                <w:kern w:val="0"/>
                <w:sz w:val="20"/>
                <w:lang w:bidi="ar"/>
              </w:rPr>
              <w:t>Channel Model</w:t>
            </w:r>
          </w:p>
        </w:tc>
        <w:tc>
          <w:tcPr>
            <w:tcW w:w="993" w:type="dxa"/>
            <w:shd w:val="clear" w:color="auto" w:fill="B7DEE8"/>
            <w:vAlign w:val="center"/>
          </w:tcPr>
          <w:p w:rsidR="007B7D04" w:rsidRDefault="008C78FA">
            <w:pPr>
              <w:spacing w:before="120" w:after="120"/>
              <w:jc w:val="center"/>
              <w:textAlignment w:val="center"/>
              <w:rPr>
                <w:rFonts w:ascii="Calibri" w:hAnsi="Calibri" w:cs="Calibri"/>
                <w:b/>
                <w:bCs/>
                <w:color w:val="000000"/>
                <w:kern w:val="0"/>
                <w:sz w:val="20"/>
                <w:lang w:bidi="ar"/>
              </w:rPr>
            </w:pPr>
            <w:r>
              <w:rPr>
                <w:rFonts w:ascii="Calibri" w:hAnsi="Calibri" w:cs="Calibri"/>
                <w:b/>
                <w:bCs/>
                <w:color w:val="000000" w:themeColor="text1"/>
                <w:kern w:val="0"/>
                <w:sz w:val="20"/>
                <w:lang w:bidi="ar"/>
              </w:rPr>
              <w:t>Muting symbol</w:t>
            </w:r>
          </w:p>
        </w:tc>
        <w:tc>
          <w:tcPr>
            <w:tcW w:w="850"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M</w:t>
            </w:r>
            <w:r>
              <w:rPr>
                <w:rFonts w:ascii="Calibri" w:hAnsi="Calibri" w:cs="Calibri" w:hint="eastAsia"/>
                <w:b/>
                <w:bCs/>
                <w:color w:val="000000" w:themeColor="text1"/>
                <w:kern w:val="0"/>
                <w:sz w:val="20"/>
                <w:lang w:bidi="ar"/>
              </w:rPr>
              <w:t>uting</w:t>
            </w:r>
            <w:r>
              <w:rPr>
                <w:rFonts w:ascii="Calibri" w:hAnsi="Calibri" w:cs="Calibri"/>
                <w:b/>
                <w:bCs/>
                <w:color w:val="000000" w:themeColor="text1"/>
                <w:kern w:val="0"/>
                <w:sz w:val="20"/>
                <w:lang w:bidi="ar"/>
              </w:rPr>
              <w:t xml:space="preserve"> Configuration</w:t>
            </w:r>
          </w:p>
        </w:tc>
        <w:tc>
          <w:tcPr>
            <w:tcW w:w="1134" w:type="dxa"/>
            <w:shd w:val="clear" w:color="auto" w:fill="B7DEE8"/>
          </w:tcPr>
          <w:p w:rsidR="007B7D04" w:rsidRDefault="007B7D04">
            <w:pPr>
              <w:spacing w:before="120" w:after="120"/>
              <w:jc w:val="center"/>
              <w:textAlignment w:val="center"/>
              <w:rPr>
                <w:rFonts w:ascii="Calibri" w:hAnsi="Calibri" w:cs="Calibri"/>
                <w:b/>
                <w:bCs/>
                <w:color w:val="000000" w:themeColor="text1"/>
                <w:kern w:val="0"/>
                <w:sz w:val="20"/>
                <w:lang w:bidi="ar"/>
              </w:rPr>
            </w:pPr>
          </w:p>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Scenario</w:t>
            </w:r>
          </w:p>
        </w:tc>
        <w:tc>
          <w:tcPr>
            <w:tcW w:w="1038" w:type="dxa"/>
            <w:shd w:val="clear" w:color="auto" w:fill="B7DEE8"/>
            <w:vAlign w:val="center"/>
          </w:tcPr>
          <w:p w:rsidR="007B7D04" w:rsidRDefault="008C78FA">
            <w:pPr>
              <w:spacing w:before="120" w:after="120"/>
              <w:jc w:val="center"/>
              <w:textAlignment w:val="center"/>
              <w:rPr>
                <w:rFonts w:ascii="Calibri" w:hAnsi="Calibri" w:cs="Calibri"/>
                <w:b/>
                <w:bCs/>
                <w:color w:val="000000" w:themeColor="text1"/>
                <w:kern w:val="0"/>
                <w:sz w:val="20"/>
                <w:lang w:bidi="ar"/>
              </w:rPr>
            </w:pPr>
            <w:r>
              <w:rPr>
                <w:rFonts w:ascii="Calibri" w:hAnsi="Calibri" w:cs="Calibri"/>
                <w:b/>
                <w:bCs/>
                <w:color w:val="000000" w:themeColor="text1"/>
                <w:kern w:val="0"/>
                <w:sz w:val="20"/>
                <w:lang w:bidi="ar"/>
              </w:rPr>
              <w:t>SNR</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w:t>
            </w:r>
          </w:p>
        </w:tc>
        <w:tc>
          <w:tcPr>
            <w:tcW w:w="677"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30 kHz SCS</w:t>
            </w:r>
          </w:p>
        </w:tc>
        <w:tc>
          <w:tcPr>
            <w:tcW w:w="62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40 MHz(20MHz DL sub-band+ 20MHz UL sub-band)</w:t>
            </w: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p>
        </w:tc>
        <w:tc>
          <w:tcPr>
            <w:tcW w:w="66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w:t>
            </w:r>
            <w:r>
              <w:rPr>
                <w:rFonts w:ascii="Calibri" w:hAnsi="Calibri" w:cs="Calibri"/>
                <w:color w:val="000000"/>
                <w:sz w:val="20"/>
              </w:rPr>
              <w:t>6</w:t>
            </w: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18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TDLC 300-100</w:t>
            </w:r>
          </w:p>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ULA Low</w:t>
            </w: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w:t>
            </w:r>
            <w:r>
              <w:rPr>
                <w:rFonts w:ascii="Calibri" w:hAnsi="Calibri" w:cs="Calibri"/>
                <w:color w:val="000000"/>
                <w:kern w:val="0"/>
                <w:sz w:val="20"/>
                <w:lang w:bidi="ar"/>
              </w:rPr>
              <w:t xml:space="preserve"> </w:t>
            </w:r>
            <w:r>
              <w:rPr>
                <w:rFonts w:ascii="Calibri" w:hAnsi="Calibri" w:cs="Calibri" w:hint="eastAsia"/>
                <w:color w:val="000000"/>
                <w:kern w:val="0"/>
                <w:sz w:val="20"/>
                <w:lang w:bidi="ar"/>
              </w:rPr>
              <w:t>symbol</w:t>
            </w:r>
          </w:p>
        </w:tc>
        <w:tc>
          <w:tcPr>
            <w:tcW w:w="850" w:type="dxa"/>
            <w:vMerge w:val="restart"/>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w:t>
            </w:r>
            <w:r>
              <w:rPr>
                <w:rFonts w:ascii="Calibri" w:hAnsi="Calibri" w:cs="Calibri"/>
                <w:color w:val="000000"/>
                <w:kern w:val="0"/>
                <w:sz w:val="20"/>
                <w:lang w:bidi="ar"/>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13.5</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850" w:type="dxa"/>
            <w:vMerge/>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13.0</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2</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textAlignment w:val="center"/>
              <w:rPr>
                <w:rFonts w:ascii="Calibri" w:hAnsi="Calibri" w:cs="Calibri"/>
                <w:color w:val="000000"/>
                <w:sz w:val="20"/>
              </w:rPr>
            </w:pPr>
            <w:r>
              <w:rPr>
                <w:rFonts w:ascii="Calibri" w:hAnsi="Calibri" w:cs="Calibri"/>
                <w:color w:val="000000"/>
                <w:sz w:val="20"/>
              </w:rPr>
              <w:t xml:space="preserve">1 symbol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7.2</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6.9</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4</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1T2R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kern w:val="0"/>
                <w:sz w:val="20"/>
                <w:lang w:bidi="ar"/>
              </w:rPr>
              <w:t>13.5</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textAlignment w:val="center"/>
              <w:rPr>
                <w:rFonts w:ascii="Calibri" w:hAnsi="Calibri" w:cs="Calibri"/>
                <w:color w:val="000000"/>
                <w:kern w:val="0"/>
                <w:sz w:val="20"/>
                <w:lang w:bidi="ar"/>
              </w:rPr>
            </w:pP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hint="eastAsia"/>
                <w:color w:val="000000"/>
                <w:kern w:val="0"/>
                <w:sz w:val="20"/>
                <w:lang w:bidi="ar"/>
              </w:rPr>
              <w:t>13.0</w:t>
            </w:r>
          </w:p>
        </w:tc>
      </w:tr>
      <w:tr w:rsidR="007B7D04">
        <w:trPr>
          <w:trHeight w:val="438"/>
        </w:trPr>
        <w:tc>
          <w:tcPr>
            <w:tcW w:w="444"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5</w:t>
            </w: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kern w:val="0"/>
                <w:sz w:val="20"/>
                <w:lang w:bidi="ar"/>
              </w:rPr>
              <w:t>1T4R</w:t>
            </w: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709"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hint="eastAsia"/>
                <w:color w:val="000000"/>
                <w:sz w:val="20"/>
              </w:rPr>
              <w:t>11</w:t>
            </w: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val="restart"/>
            <w:shd w:val="clear" w:color="auto" w:fill="auto"/>
            <w:vAlign w:val="center"/>
          </w:tcPr>
          <w:p w:rsidR="007B7D04" w:rsidRDefault="008C78FA">
            <w:pPr>
              <w:spacing w:before="120" w:after="120"/>
              <w:jc w:val="center"/>
              <w:textAlignment w:val="center"/>
              <w:rPr>
                <w:rFonts w:ascii="Calibri" w:hAnsi="Calibri" w:cs="Calibri"/>
                <w:color w:val="000000"/>
                <w:sz w:val="20"/>
              </w:rPr>
            </w:pPr>
            <w:r>
              <w:rPr>
                <w:rFonts w:ascii="Calibri" w:hAnsi="Calibri" w:cs="Calibri"/>
                <w:color w:val="000000"/>
                <w:sz w:val="20"/>
              </w:rPr>
              <w:t xml:space="preserve">2 symbols </w:t>
            </w:r>
          </w:p>
        </w:tc>
        <w:tc>
          <w:tcPr>
            <w:tcW w:w="850" w:type="dxa"/>
            <w:vMerge w:val="restart"/>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w:t>
            </w:r>
            <w:r>
              <w:rPr>
                <w:rFonts w:ascii="Calibri" w:hAnsi="Calibri" w:cs="Calibri"/>
                <w:color w:val="000000"/>
                <w:sz w:val="20"/>
              </w:rPr>
              <w:t>3,12]</w:t>
            </w:r>
          </w:p>
        </w:tc>
        <w:tc>
          <w:tcPr>
            <w:tcW w:w="1134" w:type="dxa"/>
          </w:tcPr>
          <w:p w:rsidR="007B7D04" w:rsidRDefault="008C78FA">
            <w:pPr>
              <w:spacing w:before="120" w:after="120"/>
              <w:jc w:val="center"/>
              <w:textAlignment w:val="center"/>
              <w:rPr>
                <w:rFonts w:ascii="Calibri" w:hAnsi="Calibri" w:cs="Calibri"/>
                <w:color w:val="000000"/>
                <w:kern w:val="0"/>
                <w:sz w:val="20"/>
                <w:lang w:bidi="ar"/>
              </w:rPr>
            </w:pPr>
            <w:r>
              <w:rPr>
                <w:rFonts w:ascii="Calibri" w:hAnsi="Calibri" w:cs="Calibri"/>
                <w:color w:val="000000"/>
                <w:kern w:val="0"/>
                <w:sz w:val="20"/>
                <w:lang w:bidi="ar"/>
              </w:rPr>
              <w:t>Baseline</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6.7</w:t>
            </w:r>
          </w:p>
        </w:tc>
      </w:tr>
      <w:tr w:rsidR="007B7D04">
        <w:trPr>
          <w:trHeight w:val="438"/>
        </w:trPr>
        <w:tc>
          <w:tcPr>
            <w:tcW w:w="44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77"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29"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641"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64"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642"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709"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1842" w:type="dxa"/>
            <w:vMerge/>
            <w:shd w:val="clear" w:color="auto" w:fill="auto"/>
            <w:vAlign w:val="center"/>
          </w:tcPr>
          <w:p w:rsidR="007B7D04" w:rsidRDefault="007B7D04">
            <w:pPr>
              <w:spacing w:before="120" w:after="120"/>
              <w:jc w:val="center"/>
              <w:rPr>
                <w:rFonts w:ascii="Calibri" w:hAnsi="Calibri" w:cs="Calibri"/>
                <w:color w:val="000000"/>
                <w:sz w:val="20"/>
              </w:rPr>
            </w:pPr>
          </w:p>
        </w:tc>
        <w:tc>
          <w:tcPr>
            <w:tcW w:w="993" w:type="dxa"/>
            <w:vMerge/>
            <w:shd w:val="clear" w:color="auto" w:fill="auto"/>
            <w:vAlign w:val="center"/>
          </w:tcPr>
          <w:p w:rsidR="007B7D04" w:rsidRDefault="007B7D04">
            <w:pPr>
              <w:spacing w:before="120" w:after="120"/>
              <w:jc w:val="center"/>
              <w:textAlignment w:val="center"/>
              <w:rPr>
                <w:rFonts w:ascii="Calibri" w:hAnsi="Calibri" w:cs="Calibri"/>
                <w:color w:val="000000"/>
                <w:sz w:val="20"/>
              </w:rPr>
            </w:pPr>
          </w:p>
        </w:tc>
        <w:tc>
          <w:tcPr>
            <w:tcW w:w="850" w:type="dxa"/>
            <w:vMerge/>
            <w:vAlign w:val="center"/>
          </w:tcPr>
          <w:p w:rsidR="007B7D04" w:rsidRDefault="007B7D04">
            <w:pPr>
              <w:spacing w:before="120" w:after="120"/>
              <w:jc w:val="center"/>
              <w:rPr>
                <w:rFonts w:ascii="Calibri" w:hAnsi="Calibri" w:cs="Calibri"/>
                <w:color w:val="000000"/>
                <w:sz w:val="20"/>
              </w:rPr>
            </w:pPr>
          </w:p>
        </w:tc>
        <w:tc>
          <w:tcPr>
            <w:tcW w:w="1134" w:type="dxa"/>
          </w:tcPr>
          <w:p w:rsidR="007B7D04" w:rsidRDefault="008C78FA">
            <w:pPr>
              <w:spacing w:before="120" w:after="120"/>
              <w:jc w:val="center"/>
              <w:rPr>
                <w:rFonts w:ascii="Calibri" w:hAnsi="Calibri" w:cs="Calibri"/>
                <w:color w:val="000000"/>
                <w:sz w:val="20"/>
              </w:rPr>
            </w:pPr>
            <w:r>
              <w:rPr>
                <w:rFonts w:ascii="Calibri" w:hAnsi="Calibri" w:cs="Calibri" w:hint="eastAsia"/>
                <w:color w:val="000000"/>
                <w:kern w:val="0"/>
                <w:sz w:val="20"/>
                <w:lang w:bidi="ar"/>
              </w:rPr>
              <w:t>E</w:t>
            </w:r>
            <w:r>
              <w:rPr>
                <w:rFonts w:ascii="Calibri" w:hAnsi="Calibri" w:cs="Calibri"/>
                <w:color w:val="000000"/>
                <w:kern w:val="0"/>
                <w:sz w:val="20"/>
                <w:lang w:bidi="ar"/>
              </w:rPr>
              <w:t>nhanced</w:t>
            </w:r>
          </w:p>
        </w:tc>
        <w:tc>
          <w:tcPr>
            <w:tcW w:w="1038" w:type="dxa"/>
            <w:shd w:val="clear" w:color="auto" w:fill="auto"/>
            <w:vAlign w:val="center"/>
          </w:tcPr>
          <w:p w:rsidR="007B7D04" w:rsidRDefault="008C78FA">
            <w:pPr>
              <w:spacing w:before="120" w:after="120"/>
              <w:jc w:val="center"/>
              <w:rPr>
                <w:rFonts w:ascii="Calibri" w:hAnsi="Calibri" w:cs="Calibri"/>
                <w:color w:val="000000"/>
                <w:sz w:val="20"/>
              </w:rPr>
            </w:pPr>
            <w:r>
              <w:rPr>
                <w:rFonts w:ascii="Calibri" w:hAnsi="Calibri" w:cs="Calibri" w:hint="eastAsia"/>
                <w:color w:val="000000"/>
                <w:sz w:val="20"/>
              </w:rPr>
              <w:t>6.5</w:t>
            </w:r>
          </w:p>
        </w:tc>
      </w:tr>
    </w:tbl>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8C78FA">
      <w:pPr>
        <w:widowControl w:val="0"/>
        <w:spacing w:beforeLines="100" w:before="240" w:afterLines="0" w:line="240" w:lineRule="auto"/>
        <w:rPr>
          <w:b/>
          <w:i/>
          <w:sz w:val="20"/>
        </w:rPr>
      </w:pPr>
      <w:r>
        <w:rPr>
          <w:rFonts w:hint="eastAsia"/>
          <w:b/>
          <w:i/>
          <w:sz w:val="20"/>
        </w:rPr>
        <w:t>Observation 1. Based on our simulation results, the significant difference is that a gap of more than 1dB gap is observed between 1 symbol and two symbols muting schemes. Also, no difference is observed between 1 symbol and two symbols muting schemes in some test cases.</w:t>
      </w:r>
    </w:p>
    <w:p w:rsidR="007B7D04" w:rsidRDefault="008C78FA">
      <w:pPr>
        <w:widowControl w:val="0"/>
        <w:spacing w:beforeLines="100" w:before="240" w:afterLines="0" w:line="240" w:lineRule="auto"/>
        <w:rPr>
          <w:b/>
          <w:i/>
          <w:sz w:val="20"/>
        </w:rPr>
      </w:pPr>
      <w:r>
        <w:rPr>
          <w:rFonts w:hint="eastAsia"/>
          <w:b/>
          <w:i/>
          <w:sz w:val="20"/>
        </w:rPr>
        <w:t>Observation 2. Base</w:t>
      </w:r>
      <w:r w:rsidR="00627F37">
        <w:rPr>
          <w:rFonts w:hint="eastAsia"/>
          <w:b/>
          <w:i/>
          <w:sz w:val="20"/>
        </w:rPr>
        <w:t>d</w:t>
      </w:r>
      <w:r>
        <w:rPr>
          <w:rFonts w:hint="eastAsia"/>
          <w:b/>
          <w:i/>
          <w:sz w:val="20"/>
        </w:rPr>
        <w:t xml:space="preserve"> on our simulation results, muting symbol scheme can achieve a better performance compared to muting disable scheme, especially when using a higher interference levels. </w:t>
      </w:r>
    </w:p>
    <w:p w:rsidR="007B7D04" w:rsidRDefault="008C78FA">
      <w:pPr>
        <w:widowControl w:val="0"/>
        <w:spacing w:beforeLines="100" w:before="240" w:afterLines="0" w:line="240" w:lineRule="auto"/>
        <w:rPr>
          <w:b/>
          <w:bCs/>
          <w:sz w:val="24"/>
          <w:szCs w:val="24"/>
        </w:rPr>
      </w:pPr>
      <w:r>
        <w:rPr>
          <w:rFonts w:hint="eastAsia"/>
          <w:b/>
          <w:i/>
          <w:sz w:val="20"/>
        </w:rPr>
        <w:t>Observation 3. Based on our simulation results, the receiver</w:t>
      </w:r>
      <w:r>
        <w:rPr>
          <w:b/>
          <w:i/>
          <w:sz w:val="20"/>
        </w:rPr>
        <w:t>’</w:t>
      </w:r>
      <w:r>
        <w:rPr>
          <w:rFonts w:hint="eastAsia"/>
          <w:b/>
          <w:i/>
          <w:sz w:val="20"/>
        </w:rPr>
        <w:t>s ability to suppress interference is affected by the level of interference.</w:t>
      </w:r>
    </w:p>
    <w:p w:rsidR="007B7D04" w:rsidRDefault="007B7D04">
      <w:pPr>
        <w:spacing w:before="120" w:after="120"/>
        <w:rPr>
          <w:b/>
          <w:bCs/>
          <w:sz w:val="24"/>
          <w:szCs w:val="24"/>
        </w:rPr>
      </w:pPr>
    </w:p>
    <w:p w:rsidR="007B7D04" w:rsidRDefault="007B7D04">
      <w:pPr>
        <w:spacing w:before="120" w:after="120"/>
        <w:rPr>
          <w:b/>
          <w:bCs/>
          <w:sz w:val="24"/>
          <w:szCs w:val="24"/>
        </w:rPr>
      </w:pPr>
    </w:p>
    <w:p w:rsidR="007B7D04" w:rsidRDefault="007B7D04">
      <w:pPr>
        <w:spacing w:before="120" w:after="120"/>
      </w:pPr>
    </w:p>
    <w:p w:rsidR="007B7D04" w:rsidRDefault="007B7D04">
      <w:pPr>
        <w:spacing w:before="120" w:after="120"/>
      </w:pPr>
    </w:p>
    <w:p w:rsidR="007B7D04" w:rsidRDefault="007B7D04">
      <w:pPr>
        <w:widowControl w:val="0"/>
        <w:spacing w:beforeLines="100" w:before="240" w:afterLines="0" w:line="240" w:lineRule="auto"/>
        <w:rPr>
          <w:b/>
          <w:bCs/>
          <w:i/>
          <w:iCs/>
          <w:szCs w:val="21"/>
        </w:rPr>
      </w:pPr>
    </w:p>
    <w:p w:rsidR="007B7D04" w:rsidRDefault="008C78FA">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7B7D04" w:rsidRDefault="008C78FA">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simulation results for </w:t>
      </w:r>
      <w:r>
        <w:rPr>
          <w:bCs/>
          <w:kern w:val="0"/>
          <w:szCs w:val="21"/>
        </w:rPr>
        <w:t xml:space="preserve">SBFD </w:t>
      </w:r>
      <w:r>
        <w:rPr>
          <w:rFonts w:hint="eastAsia"/>
          <w:bCs/>
          <w:kern w:val="0"/>
          <w:szCs w:val="21"/>
        </w:rPr>
        <w:t>demodulation performance requirements</w:t>
      </w:r>
      <w:r>
        <w:rPr>
          <w:bCs/>
          <w:kern w:val="0"/>
          <w:szCs w:val="21"/>
        </w:rPr>
        <w:t>.</w:t>
      </w:r>
    </w:p>
    <w:p w:rsidR="00C516D6" w:rsidRDefault="00C516D6" w:rsidP="00C516D6">
      <w:pPr>
        <w:widowControl w:val="0"/>
        <w:spacing w:beforeLines="100" w:before="240" w:afterLines="0" w:line="240" w:lineRule="auto"/>
        <w:rPr>
          <w:b/>
          <w:i/>
          <w:sz w:val="20"/>
        </w:rPr>
      </w:pPr>
      <w:r>
        <w:rPr>
          <w:rFonts w:hint="eastAsia"/>
          <w:b/>
          <w:i/>
          <w:sz w:val="20"/>
        </w:rPr>
        <w:lastRenderedPageBreak/>
        <w:t>Observation 1. Based on our simulation results, the significant difference is that a gap of more than 1dB gap is observed between 1 symbol and two symbols muting schemes. Also, no difference is observed between 1 symbol and two symbols muting schemes in some test cases.</w:t>
      </w:r>
    </w:p>
    <w:p w:rsidR="007B7D04" w:rsidRDefault="008C78FA">
      <w:pPr>
        <w:widowControl w:val="0"/>
        <w:spacing w:beforeLines="100" w:before="240" w:afterLines="0" w:line="240" w:lineRule="auto"/>
        <w:rPr>
          <w:b/>
          <w:i/>
          <w:sz w:val="20"/>
        </w:rPr>
      </w:pPr>
      <w:r>
        <w:rPr>
          <w:rFonts w:hint="eastAsia"/>
          <w:b/>
          <w:i/>
          <w:sz w:val="20"/>
        </w:rPr>
        <w:t>Observation 2. Base</w:t>
      </w:r>
      <w:r w:rsidR="00C516D6">
        <w:rPr>
          <w:b/>
          <w:i/>
          <w:sz w:val="20"/>
        </w:rPr>
        <w:t>d</w:t>
      </w:r>
      <w:r>
        <w:rPr>
          <w:rFonts w:hint="eastAsia"/>
          <w:b/>
          <w:i/>
          <w:sz w:val="20"/>
        </w:rPr>
        <w:t xml:space="preserve"> on our simulation results, muting symbol scheme can achieve a better performance compared to muting disable scheme, especially when using a higher interference level. </w:t>
      </w:r>
    </w:p>
    <w:p w:rsidR="007B7D04" w:rsidRDefault="008C78FA">
      <w:pPr>
        <w:widowControl w:val="0"/>
        <w:spacing w:beforeLines="100" w:before="240" w:afterLines="0" w:line="240" w:lineRule="auto"/>
        <w:rPr>
          <w:b/>
          <w:i/>
          <w:sz w:val="20"/>
        </w:rPr>
      </w:pPr>
      <w:r>
        <w:rPr>
          <w:rFonts w:hint="eastAsia"/>
          <w:b/>
          <w:i/>
          <w:sz w:val="20"/>
        </w:rPr>
        <w:t>Observation 3. Based on our simulation results, the receiver</w:t>
      </w:r>
      <w:r>
        <w:rPr>
          <w:b/>
          <w:i/>
          <w:sz w:val="20"/>
        </w:rPr>
        <w:t>’</w:t>
      </w:r>
      <w:r>
        <w:rPr>
          <w:rFonts w:hint="eastAsia"/>
          <w:b/>
          <w:i/>
          <w:sz w:val="20"/>
        </w:rPr>
        <w:t>s ability to suppress interference is affected by the level of interference.</w:t>
      </w:r>
    </w:p>
    <w:p w:rsidR="007B7D04" w:rsidRDefault="007B7D04">
      <w:pPr>
        <w:widowControl w:val="0"/>
        <w:spacing w:beforeLines="100" w:before="240" w:afterLines="0" w:line="240" w:lineRule="auto"/>
        <w:rPr>
          <w:b/>
          <w:i/>
          <w:sz w:val="20"/>
        </w:rPr>
      </w:pPr>
    </w:p>
    <w:p w:rsidR="007B7D04" w:rsidRDefault="008C78FA">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7B7D04" w:rsidRDefault="008C78FA">
      <w:pPr>
        <w:pStyle w:val="af8"/>
        <w:numPr>
          <w:ilvl w:val="0"/>
          <w:numId w:val="8"/>
        </w:numPr>
        <w:spacing w:before="120" w:after="120"/>
        <w:rPr>
          <w:rFonts w:eastAsia="宋体" w:cstheme="minorBidi"/>
          <w:kern w:val="0"/>
          <w:sz w:val="21"/>
          <w:szCs w:val="21"/>
        </w:rPr>
      </w:pPr>
      <w:r>
        <w:rPr>
          <w:rFonts w:eastAsia="宋体" w:cstheme="minorBidi"/>
          <w:kern w:val="0"/>
          <w:sz w:val="21"/>
          <w:szCs w:val="21"/>
        </w:rPr>
        <w:t>RP-241614, Revised WID: Evolution of NR duplex operation: Sub-band full duplex (SBFD), Huawei.</w:t>
      </w:r>
    </w:p>
    <w:p w:rsidR="007B7D04" w:rsidRDefault="008C78FA">
      <w:pPr>
        <w:pStyle w:val="af8"/>
        <w:numPr>
          <w:ilvl w:val="0"/>
          <w:numId w:val="8"/>
        </w:numPr>
        <w:spacing w:afterLines="0" w:line="259" w:lineRule="auto"/>
        <w:ind w:right="-22"/>
        <w:jc w:val="left"/>
        <w:rPr>
          <w:rFonts w:eastAsia="宋体" w:cstheme="minorBidi"/>
          <w:kern w:val="0"/>
          <w:sz w:val="21"/>
          <w:szCs w:val="21"/>
          <w:lang w:eastAsia="en-US"/>
        </w:rPr>
      </w:pPr>
      <w:r>
        <w:rPr>
          <w:rFonts w:eastAsia="宋体" w:cstheme="minorBidi" w:hint="eastAsia"/>
          <w:kern w:val="0"/>
          <w:sz w:val="21"/>
          <w:szCs w:val="21"/>
          <w:lang w:eastAsia="en-US"/>
        </w:rPr>
        <w:t>R4-2</w:t>
      </w:r>
      <w:r>
        <w:rPr>
          <w:rFonts w:eastAsia="宋体" w:cstheme="minorBidi"/>
          <w:kern w:val="0"/>
          <w:sz w:val="21"/>
          <w:szCs w:val="21"/>
          <w:lang w:eastAsia="en-US"/>
        </w:rPr>
        <w:t>512615</w:t>
      </w:r>
      <w:r>
        <w:rPr>
          <w:rFonts w:eastAsia="宋体" w:cstheme="minorBidi" w:hint="eastAsia"/>
          <w:kern w:val="0"/>
          <w:sz w:val="21"/>
          <w:szCs w:val="21"/>
          <w:lang w:eastAsia="en-US"/>
        </w:rPr>
        <w:t>,</w:t>
      </w:r>
      <w:r>
        <w:t xml:space="preserve"> </w:t>
      </w:r>
      <w:r>
        <w:rPr>
          <w:rFonts w:eastAsia="宋体" w:cstheme="minorBidi"/>
          <w:kern w:val="0"/>
          <w:sz w:val="21"/>
          <w:szCs w:val="21"/>
          <w:lang w:eastAsia="en-US"/>
        </w:rPr>
        <w:t>Way Forward for [116][328] NR_duplex_evo_demod, Samsung.</w:t>
      </w:r>
    </w:p>
    <w:p w:rsidR="007B7D04" w:rsidRDefault="007B7D04">
      <w:pPr>
        <w:pStyle w:val="af8"/>
        <w:spacing w:afterLines="0" w:line="259" w:lineRule="auto"/>
        <w:ind w:left="-60" w:right="-22"/>
        <w:jc w:val="left"/>
        <w:rPr>
          <w:rFonts w:eastAsiaTheme="minorHAnsi" w:cstheme="minorBidi"/>
          <w:kern w:val="0"/>
          <w:sz w:val="21"/>
          <w:szCs w:val="21"/>
          <w:lang w:eastAsia="en-US"/>
        </w:rPr>
      </w:pPr>
    </w:p>
    <w:sectPr w:rsidR="007B7D0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419" w:rsidRDefault="00554419">
      <w:pPr>
        <w:spacing w:before="120" w:after="120" w:line="240" w:lineRule="auto"/>
      </w:pPr>
      <w:r>
        <w:separator/>
      </w:r>
    </w:p>
  </w:endnote>
  <w:endnote w:type="continuationSeparator" w:id="0">
    <w:p w:rsidR="00554419" w:rsidRDefault="0055441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7B7D04" w:rsidRDefault="008C78FA">
        <w:pPr>
          <w:pStyle w:val="aa"/>
          <w:spacing w:before="120" w:after="120"/>
          <w:jc w:val="center"/>
        </w:pPr>
        <w:r>
          <w:fldChar w:fldCharType="begin"/>
        </w:r>
        <w:r>
          <w:instrText xml:space="preserve"> PAGE   \* MERGEFORMAT </w:instrText>
        </w:r>
        <w:r>
          <w:fldChar w:fldCharType="separate"/>
        </w:r>
        <w:r>
          <w:t>2</w:t>
        </w:r>
        <w:r>
          <w:fldChar w:fldCharType="end"/>
        </w:r>
      </w:p>
    </w:sdtContent>
  </w:sdt>
  <w:p w:rsidR="007B7D04" w:rsidRDefault="007B7D0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419" w:rsidRDefault="00554419">
      <w:pPr>
        <w:spacing w:before="120" w:after="120"/>
      </w:pPr>
      <w:r>
        <w:separator/>
      </w:r>
    </w:p>
  </w:footnote>
  <w:footnote w:type="continuationSeparator" w:id="0">
    <w:p w:rsidR="00554419" w:rsidRDefault="0055441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04" w:rsidRDefault="007B7D0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2E4D"/>
    <w:rsid w:val="000C6FD0"/>
    <w:rsid w:val="000D2BFF"/>
    <w:rsid w:val="000D57E0"/>
    <w:rsid w:val="000E07A6"/>
    <w:rsid w:val="000E17BC"/>
    <w:rsid w:val="000E2366"/>
    <w:rsid w:val="000F0750"/>
    <w:rsid w:val="000F331A"/>
    <w:rsid w:val="000F64F0"/>
    <w:rsid w:val="000F734B"/>
    <w:rsid w:val="00103A61"/>
    <w:rsid w:val="00104103"/>
    <w:rsid w:val="00111371"/>
    <w:rsid w:val="00117634"/>
    <w:rsid w:val="0012401D"/>
    <w:rsid w:val="00124481"/>
    <w:rsid w:val="00126AB9"/>
    <w:rsid w:val="00134804"/>
    <w:rsid w:val="00136DE0"/>
    <w:rsid w:val="0014297B"/>
    <w:rsid w:val="00153D6E"/>
    <w:rsid w:val="00154186"/>
    <w:rsid w:val="00154928"/>
    <w:rsid w:val="001668F7"/>
    <w:rsid w:val="00167A66"/>
    <w:rsid w:val="00172A27"/>
    <w:rsid w:val="00181331"/>
    <w:rsid w:val="00195BE7"/>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1714"/>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8747D"/>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22844"/>
    <w:rsid w:val="00332ECB"/>
    <w:rsid w:val="0034730D"/>
    <w:rsid w:val="00347B22"/>
    <w:rsid w:val="003554B9"/>
    <w:rsid w:val="00365C81"/>
    <w:rsid w:val="00371A27"/>
    <w:rsid w:val="0037274A"/>
    <w:rsid w:val="00380EC3"/>
    <w:rsid w:val="0038470C"/>
    <w:rsid w:val="00384FD2"/>
    <w:rsid w:val="0038701B"/>
    <w:rsid w:val="003875B1"/>
    <w:rsid w:val="00396EBE"/>
    <w:rsid w:val="003A449D"/>
    <w:rsid w:val="003A4614"/>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5837"/>
    <w:rsid w:val="00447360"/>
    <w:rsid w:val="004473B1"/>
    <w:rsid w:val="00450ED2"/>
    <w:rsid w:val="00456CF0"/>
    <w:rsid w:val="00464D3A"/>
    <w:rsid w:val="0046595B"/>
    <w:rsid w:val="0046786B"/>
    <w:rsid w:val="00471253"/>
    <w:rsid w:val="004718AC"/>
    <w:rsid w:val="00472E2B"/>
    <w:rsid w:val="00474D46"/>
    <w:rsid w:val="00475442"/>
    <w:rsid w:val="00486D5B"/>
    <w:rsid w:val="00487520"/>
    <w:rsid w:val="00491DB1"/>
    <w:rsid w:val="00491F56"/>
    <w:rsid w:val="00494942"/>
    <w:rsid w:val="004953DD"/>
    <w:rsid w:val="00496B7E"/>
    <w:rsid w:val="004A0A7D"/>
    <w:rsid w:val="004A219E"/>
    <w:rsid w:val="004B67C9"/>
    <w:rsid w:val="004B7C15"/>
    <w:rsid w:val="004C5F7D"/>
    <w:rsid w:val="004C655F"/>
    <w:rsid w:val="004C68C4"/>
    <w:rsid w:val="004C7188"/>
    <w:rsid w:val="004C7366"/>
    <w:rsid w:val="004D00C7"/>
    <w:rsid w:val="004D05F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4419"/>
    <w:rsid w:val="005558F3"/>
    <w:rsid w:val="00556373"/>
    <w:rsid w:val="005600DF"/>
    <w:rsid w:val="00564DDE"/>
    <w:rsid w:val="00571C54"/>
    <w:rsid w:val="00571EA0"/>
    <w:rsid w:val="0057307C"/>
    <w:rsid w:val="005759AE"/>
    <w:rsid w:val="00581F2D"/>
    <w:rsid w:val="0059380D"/>
    <w:rsid w:val="005A0CCB"/>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27F37"/>
    <w:rsid w:val="00640385"/>
    <w:rsid w:val="00645440"/>
    <w:rsid w:val="0064615A"/>
    <w:rsid w:val="006519B5"/>
    <w:rsid w:val="00652629"/>
    <w:rsid w:val="00653661"/>
    <w:rsid w:val="00653D1A"/>
    <w:rsid w:val="00654C8E"/>
    <w:rsid w:val="00673BD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6F5ACC"/>
    <w:rsid w:val="007100E9"/>
    <w:rsid w:val="00713289"/>
    <w:rsid w:val="00721C3B"/>
    <w:rsid w:val="00722FF7"/>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B7D04"/>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0931"/>
    <w:rsid w:val="00804AC9"/>
    <w:rsid w:val="00810B4C"/>
    <w:rsid w:val="0082424D"/>
    <w:rsid w:val="008308A0"/>
    <w:rsid w:val="00832E40"/>
    <w:rsid w:val="008352F1"/>
    <w:rsid w:val="00841F02"/>
    <w:rsid w:val="00842F72"/>
    <w:rsid w:val="00847D16"/>
    <w:rsid w:val="008616A3"/>
    <w:rsid w:val="00866C06"/>
    <w:rsid w:val="0088501F"/>
    <w:rsid w:val="0088695E"/>
    <w:rsid w:val="00887B64"/>
    <w:rsid w:val="00887C4C"/>
    <w:rsid w:val="00892BB4"/>
    <w:rsid w:val="00896760"/>
    <w:rsid w:val="008B5336"/>
    <w:rsid w:val="008B5677"/>
    <w:rsid w:val="008C3749"/>
    <w:rsid w:val="008C42E9"/>
    <w:rsid w:val="008C71FA"/>
    <w:rsid w:val="008C78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4680"/>
    <w:rsid w:val="00985071"/>
    <w:rsid w:val="00993F32"/>
    <w:rsid w:val="009A5574"/>
    <w:rsid w:val="009B156B"/>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D4110"/>
    <w:rsid w:val="00AE4768"/>
    <w:rsid w:val="00AE71B6"/>
    <w:rsid w:val="00B012CB"/>
    <w:rsid w:val="00B0288C"/>
    <w:rsid w:val="00B078AE"/>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A483B"/>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462DE"/>
    <w:rsid w:val="00C50EDF"/>
    <w:rsid w:val="00C516D6"/>
    <w:rsid w:val="00C5398B"/>
    <w:rsid w:val="00C70213"/>
    <w:rsid w:val="00C83A72"/>
    <w:rsid w:val="00C840AD"/>
    <w:rsid w:val="00C928AB"/>
    <w:rsid w:val="00C95F42"/>
    <w:rsid w:val="00C96163"/>
    <w:rsid w:val="00CA08F3"/>
    <w:rsid w:val="00CA1728"/>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368A"/>
    <w:rsid w:val="00D35BC4"/>
    <w:rsid w:val="00D52E7D"/>
    <w:rsid w:val="00D67AC0"/>
    <w:rsid w:val="00D67B5A"/>
    <w:rsid w:val="00D70142"/>
    <w:rsid w:val="00D7345C"/>
    <w:rsid w:val="00D75EDF"/>
    <w:rsid w:val="00DA28CF"/>
    <w:rsid w:val="00DA51C2"/>
    <w:rsid w:val="00DB5D94"/>
    <w:rsid w:val="00DB64B5"/>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5E01"/>
    <w:rsid w:val="00FA6AD1"/>
    <w:rsid w:val="00FB2B12"/>
    <w:rsid w:val="00FB3C9D"/>
    <w:rsid w:val="00FB46E7"/>
    <w:rsid w:val="00FB6239"/>
    <w:rsid w:val="00FB7CA4"/>
    <w:rsid w:val="00FC3509"/>
    <w:rsid w:val="00FC43E8"/>
    <w:rsid w:val="00FD026F"/>
    <w:rsid w:val="00FD0720"/>
    <w:rsid w:val="00FD12AC"/>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62781"/>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991296"/>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040E41"/>
    <w:rsid w:val="071C13A8"/>
    <w:rsid w:val="07344DAF"/>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5A6F43"/>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9F4A7B"/>
    <w:rsid w:val="11C67B8F"/>
    <w:rsid w:val="11C7548A"/>
    <w:rsid w:val="11D11FE9"/>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2A4D2A"/>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6B4C8F"/>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62467D"/>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973C5"/>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AE3C52"/>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707D6D"/>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869CA"/>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4FC5212"/>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9F2D89"/>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7C09C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633C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86945"/>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3C65F0"/>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8B2F2A"/>
    <w:rsid w:val="469448C6"/>
    <w:rsid w:val="46A232B5"/>
    <w:rsid w:val="46A45391"/>
    <w:rsid w:val="46A80465"/>
    <w:rsid w:val="46B80AF8"/>
    <w:rsid w:val="46D37F0B"/>
    <w:rsid w:val="46D71533"/>
    <w:rsid w:val="46D82787"/>
    <w:rsid w:val="46E53335"/>
    <w:rsid w:val="47003A61"/>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5C2D78"/>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141D9C"/>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0313D"/>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B82F72"/>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32558"/>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769CB"/>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70A44"/>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2F723D"/>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1A150E"/>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F870B"/>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28B84-1004-4A73-9544-CC046132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5</Pages>
  <Words>831</Words>
  <Characters>4743</Characters>
  <Application>Microsoft Office Word</Application>
  <DocSecurity>0</DocSecurity>
  <Lines>39</Lines>
  <Paragraphs>11</Paragraphs>
  <ScaleCrop>false</ScaleCrop>
  <Company>ZTE Corporation</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24</cp:revision>
  <dcterms:created xsi:type="dcterms:W3CDTF">2021-09-06T20:42:00Z</dcterms:created>
  <dcterms:modified xsi:type="dcterms:W3CDTF">2025-10-03T12:11:00Z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